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center" w:pos="4320"/>
          <w:tab w:val="left" w:pos="6288"/>
        </w:tabs>
        <w:contextualSpacing w:val="0"/>
        <w:jc w:val="center"/>
        <w:rPr>
          <w:b w:val="1"/>
        </w:rPr>
      </w:pPr>
      <w:r w:rsidDel="00000000" w:rsidR="00000000" w:rsidRPr="00000000">
        <w:rPr>
          <w:b w:val="1"/>
          <w:rtl w:val="0"/>
        </w:rPr>
        <w:t xml:space="preserve">PROGRAMA BECAS-TALLER PARA</w:t>
      </w:r>
    </w:p>
    <w:p w:rsidR="00000000" w:rsidDel="00000000" w:rsidP="00000000" w:rsidRDefault="00000000" w:rsidRPr="00000000">
      <w:pPr>
        <w:contextualSpacing w:val="0"/>
        <w:jc w:val="center"/>
        <w:rPr>
          <w:b w:val="1"/>
        </w:rPr>
      </w:pPr>
      <w:r w:rsidDel="00000000" w:rsidR="00000000" w:rsidRPr="00000000">
        <w:rPr>
          <w:b w:val="1"/>
          <w:rtl w:val="0"/>
        </w:rPr>
        <w:t xml:space="preserve">EL DESARROLLO DE PROYECTOS CULTURALES:</w:t>
      </w:r>
    </w:p>
    <w:p w:rsidR="00000000" w:rsidDel="00000000" w:rsidP="00000000" w:rsidRDefault="00000000" w:rsidRPr="00000000">
      <w:pPr>
        <w:contextualSpacing w:val="0"/>
        <w:jc w:val="center"/>
        <w:rPr>
          <w:b w:val="1"/>
          <w:color w:val="000000"/>
        </w:rPr>
      </w:pPr>
      <w:r w:rsidDel="00000000" w:rsidR="00000000" w:rsidRPr="00000000">
        <w:rPr>
          <w:b w:val="1"/>
          <w:color w:val="000000"/>
          <w:rtl w:val="0"/>
        </w:rPr>
        <w:t xml:space="preserve">UN FONDO </w:t>
      </w:r>
      <w:r w:rsidDel="00000000" w:rsidR="00000000" w:rsidRPr="00000000">
        <w:rPr>
          <w:b w:val="1"/>
          <w:rtl w:val="0"/>
        </w:rPr>
        <w:t xml:space="preserve">CONCURSABLE</w:t>
      </w:r>
      <w:r w:rsidDel="00000000" w:rsidR="00000000" w:rsidRPr="00000000">
        <w:rPr>
          <w:b w:val="1"/>
          <w:color w:val="000000"/>
          <w:rtl w:val="0"/>
        </w:rPr>
        <w:t xml:space="preserve"> PARA LA HERENCIA CULTURAL</w:t>
      </w:r>
    </w:p>
    <w:p w:rsidR="00000000" w:rsidDel="00000000" w:rsidP="00000000" w:rsidRDefault="00000000" w:rsidRPr="00000000">
      <w:pPr>
        <w:contextualSpacing w:val="0"/>
        <w:jc w:val="center"/>
        <w:rPr>
          <w:b w:val="1"/>
          <w:color w:val="000000"/>
        </w:rPr>
      </w:pPr>
      <w:r w:rsidDel="00000000" w:rsidR="00000000" w:rsidRPr="00000000">
        <w:rPr>
          <w:rtl w:val="0"/>
        </w:rPr>
      </w:r>
    </w:p>
    <w:p w:rsidR="00000000" w:rsidDel="00000000" w:rsidP="00000000" w:rsidRDefault="00000000" w:rsidRPr="00000000">
      <w:pPr>
        <w:contextualSpacing w:val="0"/>
        <w:jc w:val="center"/>
        <w:rPr>
          <w:b w:val="1"/>
          <w:smallCaps w:val="1"/>
        </w:rPr>
      </w:pPr>
      <w:r w:rsidDel="00000000" w:rsidR="00000000" w:rsidRPr="00000000">
        <w:rPr>
          <w:b w:val="1"/>
          <w:smallCaps w:val="1"/>
          <w:rtl w:val="0"/>
        </w:rPr>
        <w:t xml:space="preserve">BASES DE PARTICIPACIÓN</w:t>
      </w:r>
    </w:p>
    <w:p w:rsidR="00000000" w:rsidDel="00000000" w:rsidP="00000000" w:rsidRDefault="00000000" w:rsidRPr="00000000">
      <w:pPr>
        <w:contextualSpacing w:val="0"/>
        <w:jc w:val="center"/>
        <w:rPr>
          <w:b w:val="1"/>
          <w:smallCaps w:val="1"/>
        </w:rPr>
      </w:pPr>
      <w:r w:rsidDel="00000000" w:rsidR="00000000" w:rsidRPr="00000000">
        <w:rPr>
          <w:b w:val="1"/>
          <w:smallCaps w:val="1"/>
          <w:rtl w:val="0"/>
        </w:rPr>
        <w:t xml:space="preserve">CONVOCATORIA 2018</w:t>
      </w:r>
    </w:p>
    <w:p w:rsidR="00000000" w:rsidDel="00000000" w:rsidP="00000000" w:rsidRDefault="00000000" w:rsidRPr="00000000">
      <w:pPr>
        <w:contextualSpacing w:val="0"/>
        <w:jc w:val="both"/>
        <w:rPr>
          <w:b w:val="1"/>
          <w:smallCaps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 Dirección de Cultura del Ministerio de Cultura y Juventud abre la convocatoria del Fondo Becas Taller para proyectos culturales vinculados con la herencia cultural para ser desarrollados en el período 2018.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 convocatoria se extiende </w:t>
      </w:r>
      <w:r w:rsidDel="00000000" w:rsidR="00000000" w:rsidRPr="00000000">
        <w:rPr>
          <w:b w:val="1"/>
          <w:u w:val="single"/>
          <w:rtl w:val="0"/>
        </w:rPr>
        <w:t xml:space="preserve">del 02 de mayo al 28 de julio de 2017</w:t>
      </w:r>
      <w:r w:rsidDel="00000000" w:rsidR="00000000" w:rsidRPr="00000000">
        <w:rPr>
          <w:b w:val="1"/>
          <w:rtl w:val="0"/>
        </w:rPr>
        <w:t xml:space="preserve">.</w:t>
      </w:r>
      <w:r w:rsidDel="00000000" w:rsidR="00000000" w:rsidRPr="00000000">
        <w:rPr>
          <w:rtl w:val="0"/>
        </w:rPr>
        <w:t xml:space="preserve"> El reglamento del Fondo Becas Taller está disponible en el sitio web de la Dirección de Cultura: </w:t>
      </w:r>
      <w:hyperlink r:id="rId6">
        <w:r w:rsidDel="00000000" w:rsidR="00000000" w:rsidRPr="00000000">
          <w:rPr>
            <w:color w:val="000000"/>
            <w:u w:val="single"/>
            <w:rtl w:val="0"/>
          </w:rPr>
          <w:t xml:space="preserve">www.dircultura.go.cr</w:t>
        </w:r>
      </w:hyperlink>
      <w:r w:rsidDel="00000000" w:rsidR="00000000" w:rsidRPr="00000000">
        <w:rPr>
          <w:color w:val="000000"/>
          <w:u w:val="none"/>
          <w:rtl w:val="0"/>
        </w:rPr>
        <w:t xml:space="preserve"> (apartado </w:t>
      </w:r>
      <w:r w:rsidDel="00000000" w:rsidR="00000000" w:rsidRPr="00000000">
        <w:rPr>
          <w:i w:val="1"/>
          <w:color w:val="000000"/>
          <w:u w:val="none"/>
          <w:rtl w:val="0"/>
        </w:rPr>
        <w:t xml:space="preserve">Becas Taller</w:t>
      </w:r>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Los formularios deberán entregarse </w:t>
      </w:r>
      <w:r w:rsidDel="00000000" w:rsidR="00000000" w:rsidRPr="00000000">
        <w:rPr>
          <w:b w:val="1"/>
          <w:u w:val="single"/>
          <w:rtl w:val="0"/>
        </w:rPr>
        <w:t xml:space="preserve">del 24 al 28 de</w:t>
      </w:r>
      <w:r w:rsidDel="00000000" w:rsidR="00000000" w:rsidRPr="00000000">
        <w:rPr>
          <w:u w:val="single"/>
          <w:rtl w:val="0"/>
        </w:rPr>
        <w:t xml:space="preserve"> </w:t>
      </w:r>
      <w:r w:rsidDel="00000000" w:rsidR="00000000" w:rsidRPr="00000000">
        <w:rPr>
          <w:b w:val="1"/>
          <w:u w:val="single"/>
          <w:rtl w:val="0"/>
        </w:rPr>
        <w:t xml:space="preserve">julio de 2017</w:t>
      </w:r>
      <w:r w:rsidDel="00000000" w:rsidR="00000000" w:rsidRPr="00000000">
        <w:rPr>
          <w:rtl w:val="0"/>
        </w:rPr>
        <w:t xml:space="preserve"> en </w:t>
      </w:r>
      <w:r w:rsidDel="00000000" w:rsidR="00000000" w:rsidRPr="00000000">
        <w:rPr>
          <w:b w:val="1"/>
          <w:u w:val="single"/>
          <w:rtl w:val="0"/>
        </w:rPr>
        <w:t xml:space="preserve">forma física y (de ser posible) en llave USB (que será devuelta)</w:t>
      </w:r>
      <w:r w:rsidDel="00000000" w:rsidR="00000000" w:rsidRPr="00000000">
        <w:rPr>
          <w:rtl w:val="0"/>
        </w:rPr>
        <w:t xml:space="preserve"> en las oficinas de la Dirección de Cultura También, se habilitarán </w:t>
      </w:r>
      <w:r w:rsidDel="00000000" w:rsidR="00000000" w:rsidRPr="00000000">
        <w:rPr>
          <w:b w:val="1"/>
          <w:u w:val="single"/>
          <w:rtl w:val="0"/>
        </w:rPr>
        <w:t xml:space="preserve">puntos de recepción de formulario fuera de San José</w:t>
      </w: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fechas y horarios específicos para la recepción de formularios en versión física en las instalaciones del CENAC y en las oficinas de la Dirección de Cultura ubicadas fuera de San José, se darán a conocer por medio del sitio web de la Dirección de Cultura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www.dircultura.go.cr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su página en Facebook (DirCultura MCJ) en junio de 2017.</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I. REQUISITOS DE PARTICIPACIÓN:</w:t>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Todas las personas interesadas en optar por el Fondo de Becas Taller para el año 2018 deberán cumplir con los siguientes requisitos: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u w:val="single"/>
        </w:rPr>
      </w:pPr>
      <w:r w:rsidDel="00000000" w:rsidR="00000000" w:rsidRPr="00000000">
        <w:rPr>
          <w:u w:val="single"/>
          <w:rtl w:val="0"/>
        </w:rPr>
        <w:t xml:space="preserve">Con relación al proyecto: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 El proyecto puede realizarse desde cualquier área de las artes y/o de la gestión cultural, pero necesariamente </w:t>
      </w:r>
      <w:r w:rsidDel="00000000" w:rsidR="00000000" w:rsidRPr="00000000">
        <w:rPr>
          <w:u w:val="single"/>
          <w:rtl w:val="0"/>
        </w:rPr>
        <w:t xml:space="preserve">debe estar vinculado con alguna manifestación de la Herencia Cultural</w:t>
      </w:r>
      <w:r w:rsidDel="00000000" w:rsidR="00000000" w:rsidRPr="00000000">
        <w:rPr>
          <w:rtl w:val="0"/>
        </w:rPr>
        <w:t xml:space="preserve"> (o Patrimonio Cultural Inmaterial según UNESCO), a saber: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5"/>
        </w:numPr>
        <w:tabs>
          <w:tab w:val="left" w:pos="709"/>
        </w:tabs>
        <w:ind w:left="360" w:hanging="360"/>
        <w:contextualSpacing w:val="0"/>
        <w:jc w:val="both"/>
        <w:rPr/>
      </w:pPr>
      <w:r w:rsidDel="00000000" w:rsidR="00000000" w:rsidRPr="00000000">
        <w:rPr>
          <w:color w:val="000000"/>
          <w:highlight w:val="white"/>
          <w:rtl w:val="0"/>
        </w:rPr>
        <w:t xml:space="preserve">Tradiciones y expresiones orales, incluido el idioma.</w:t>
      </w:r>
      <w:r w:rsidDel="00000000" w:rsidR="00000000" w:rsidRPr="00000000">
        <w:rPr>
          <w:rtl w:val="0"/>
        </w:rPr>
      </w:r>
    </w:p>
    <w:p w:rsidR="00000000" w:rsidDel="00000000" w:rsidP="00000000" w:rsidRDefault="00000000" w:rsidRPr="00000000">
      <w:pPr>
        <w:numPr>
          <w:ilvl w:val="0"/>
          <w:numId w:val="5"/>
        </w:numPr>
        <w:tabs>
          <w:tab w:val="left" w:pos="709"/>
        </w:tabs>
        <w:ind w:left="360" w:hanging="360"/>
        <w:contextualSpacing w:val="0"/>
        <w:jc w:val="both"/>
        <w:rPr>
          <w:color w:val="000000"/>
          <w:highlight w:val="white"/>
        </w:rPr>
      </w:pPr>
      <w:r w:rsidDel="00000000" w:rsidR="00000000" w:rsidRPr="00000000">
        <w:rPr>
          <w:color w:val="000000"/>
          <w:highlight w:val="white"/>
          <w:rtl w:val="0"/>
        </w:rPr>
        <w:t xml:space="preserve">Artes del espectáculo.</w:t>
      </w:r>
    </w:p>
    <w:p w:rsidR="00000000" w:rsidDel="00000000" w:rsidP="00000000" w:rsidRDefault="00000000" w:rsidRPr="00000000">
      <w:pPr>
        <w:numPr>
          <w:ilvl w:val="0"/>
          <w:numId w:val="5"/>
        </w:numPr>
        <w:tabs>
          <w:tab w:val="left" w:pos="709"/>
        </w:tabs>
        <w:ind w:left="360" w:hanging="360"/>
        <w:contextualSpacing w:val="0"/>
        <w:jc w:val="both"/>
        <w:rPr>
          <w:color w:val="000000"/>
          <w:highlight w:val="white"/>
        </w:rPr>
      </w:pPr>
      <w:r w:rsidDel="00000000" w:rsidR="00000000" w:rsidRPr="00000000">
        <w:rPr>
          <w:color w:val="000000"/>
          <w:highlight w:val="white"/>
          <w:rtl w:val="0"/>
        </w:rPr>
        <w:t xml:space="preserve">Usos sociales, rituales y actos festivos.</w:t>
      </w:r>
    </w:p>
    <w:p w:rsidR="00000000" w:rsidDel="00000000" w:rsidP="00000000" w:rsidRDefault="00000000" w:rsidRPr="00000000">
      <w:pPr>
        <w:numPr>
          <w:ilvl w:val="0"/>
          <w:numId w:val="5"/>
        </w:numPr>
        <w:tabs>
          <w:tab w:val="left" w:pos="709"/>
        </w:tabs>
        <w:ind w:left="360" w:hanging="360"/>
        <w:contextualSpacing w:val="0"/>
        <w:jc w:val="both"/>
        <w:rPr>
          <w:color w:val="000000"/>
          <w:highlight w:val="white"/>
        </w:rPr>
      </w:pPr>
      <w:r w:rsidDel="00000000" w:rsidR="00000000" w:rsidRPr="00000000">
        <w:rPr>
          <w:color w:val="000000"/>
          <w:highlight w:val="white"/>
          <w:rtl w:val="0"/>
        </w:rPr>
        <w:t xml:space="preserve">Conocimientos y usos relacionados con la naturaleza y el universo.</w:t>
      </w:r>
    </w:p>
    <w:p w:rsidR="00000000" w:rsidDel="00000000" w:rsidP="00000000" w:rsidRDefault="00000000" w:rsidRPr="00000000">
      <w:pPr>
        <w:numPr>
          <w:ilvl w:val="0"/>
          <w:numId w:val="5"/>
        </w:numPr>
        <w:tabs>
          <w:tab w:val="left" w:pos="709"/>
        </w:tabs>
        <w:ind w:left="360" w:hanging="360"/>
        <w:contextualSpacing w:val="0"/>
        <w:jc w:val="both"/>
        <w:rPr>
          <w:color w:val="000000"/>
          <w:highlight w:val="white"/>
        </w:rPr>
      </w:pPr>
      <w:r w:rsidDel="00000000" w:rsidR="00000000" w:rsidRPr="00000000">
        <w:rPr>
          <w:color w:val="000000"/>
          <w:highlight w:val="white"/>
          <w:rtl w:val="0"/>
        </w:rPr>
        <w:t xml:space="preserve">Técnicas artesanales tradicionales.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u w:val="single"/>
        </w:rPr>
      </w:pPr>
      <w:r w:rsidDel="00000000" w:rsidR="00000000" w:rsidRPr="00000000">
        <w:rPr>
          <w:u w:val="single"/>
          <w:rtl w:val="0"/>
        </w:rPr>
        <w:t xml:space="preserve">Con relación al postulante: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b. No ser funcionario de la Administración Central del MCJ (las oficinas centrales del MCJ y sus cuatro programas: Centro de Patrimonio, Dirección de Bandas, Dirección de Cultura, Sistema Nacional de Bibliotecas)</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t xml:space="preserve">c. No haber incumplido anteriormente con el convenio suscrito con cualesquiera de los fondos concursables del MCJ.</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w:t>
      </w:r>
      <w:r w:rsidDel="00000000" w:rsidR="00000000" w:rsidRPr="00000000">
        <w:rPr>
          <w:color w:val="000000"/>
          <w:highlight w:val="white"/>
          <w:rtl w:val="0"/>
        </w:rPr>
        <w:t xml:space="preserve"> Disponer de tiempo suficiente y compromiso para la ejecución exitosa del proyecto (la experiencia en el desarrollo de iniciativas similares al proyecto tiene un puntaje en su evaluación </w:t>
      </w: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 En caso de ser extranjero, comprobar su estatus migratorio legal (permiso de trabajo y residencia al día).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f.  No ser beneficiario de ningún otro fondo del MCJ o sus órganos desconcentrados en el presente año (como Pro-Artes, las Becas del Colegio de Costa Rica, Puntos de Cultura, El Fauno, entre otros).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g. Contar con un medio de notificación (correo electrónico y número de teléfono) eficaz.</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II. RECEPCIÓN DE DOCUMENTOS: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 fin de participar, se deberá entregar </w:t>
      </w:r>
      <w:r w:rsidDel="00000000" w:rsidR="00000000" w:rsidRPr="00000000">
        <w:rPr>
          <w:b w:val="1"/>
          <w:u w:val="single"/>
          <w:rtl w:val="0"/>
        </w:rPr>
        <w:t xml:space="preserve">una versión impresa y de ser posible una versión digital (en llave USB)</w:t>
      </w:r>
      <w:r w:rsidDel="00000000" w:rsidR="00000000" w:rsidRPr="00000000">
        <w:rPr>
          <w:rtl w:val="0"/>
        </w:rPr>
        <w:t xml:space="preserve"> del “</w:t>
      </w:r>
      <w:r w:rsidDel="00000000" w:rsidR="00000000" w:rsidRPr="00000000">
        <w:rPr>
          <w:b w:val="1"/>
          <w:rtl w:val="0"/>
        </w:rPr>
        <w:t xml:space="preserve">Formulario de presentación de proyectos”</w:t>
      </w:r>
      <w:r w:rsidDel="00000000" w:rsidR="00000000" w:rsidRPr="00000000">
        <w:rPr>
          <w:rtl w:val="0"/>
        </w:rPr>
        <w:t xml:space="preserve"> únicamente en el formato facilitado por la Dirección de Cultura y debidamente completado, en las fechas que se anuncien </w:t>
      </w:r>
      <w:r w:rsidDel="00000000" w:rsidR="00000000" w:rsidRPr="00000000">
        <w:rPr>
          <w:u w:val="single"/>
          <w:rtl w:val="0"/>
        </w:rPr>
        <w:t xml:space="preserve">en junio de 2017.</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Toda la documentación señalada deberá entregarse sin empastar y sin engrapar, en un sobre de manila claramente identificado.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III. REQUISITOS Y CONDICIONES DE LOS PROYECTOS: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Duración de los proyectos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proyectos deberán tener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una duración de ocho meses, iniciando sin excepción en el mes de abril y culminando en noviembre de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Tiempos y plazos: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comunicación de los proyectos seleccionados para ser desarrollados en el 2018 se anunciará en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diciembre del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través del sitio web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www.dircultura.go.cr</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www.mcj.go.cr</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en las redes sociales de la Dirección de Cultura. </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equipo de Becas Taller comunicará a los seleccionados su designación, así como los requisitos de formalización del fondo, vía telefónica y por correo electrónico, en la semana siguiente a la divulgación.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Por ello, los proyectos presentados por personas que no utilicen Internet / computadora, o no tengan acceso a correo electrónico y/o teléfono, deberán contemplar en el presupuesto del proyecto un rubro de asistencia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la persona que va a tener entre otras tareas, el apoyo en la elaboración y envío de informes, la comunicación con el equipo de Becas Taller (que incluye estar al tanto de correos electrónicos y/o mensajes de texto, trasladar la información que se reciba al becario y responder al equipo de Becas Taller oportunamente). En caso de que aplique, los datos de contacto del asistente deberán detallarse claramente en el proyecto.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reunión inaugural y la firma de convenios para los proyectos seleccionados se realizará en febrero del 2018 en el cantón central de San José.</w:t>
      </w:r>
    </w:p>
    <w:p w:rsidR="00000000" w:rsidDel="00000000" w:rsidP="00000000" w:rsidRDefault="00000000" w:rsidRPr="00000000">
      <w:pPr>
        <w:contextualSpacing w:val="0"/>
        <w:jc w:val="both"/>
        <w:rPr>
          <w:b w:val="1"/>
          <w:u w:val="singl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presupuesto aprobado para los proyectos seleccionados se entregará en tres partes (tractos): </w:t>
      </w:r>
      <w:r w:rsidDel="00000000" w:rsidR="00000000" w:rsidRPr="00000000">
        <w:rPr>
          <w:rtl w:val="0"/>
        </w:rPr>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primer tracto (50% del total del proyecto) se hará efectivo durante el mes de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abril del 2018.</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segundo tracto (40% del total del proyecto) se hará efectivo contra entrega de informe de avance entre los meses de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julio y agosto de 2018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definir según el cronograma del proyecto). </w:t>
      </w:r>
      <w:r w:rsidDel="00000000" w:rsidR="00000000" w:rsidRPr="00000000">
        <w:rPr>
          <w:rtl w:val="0"/>
        </w:rPr>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entrega de producto e informe final del proyecto deberá presentarse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en noviembre de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último tracto (10% restante del proyecto) se depositará una vez finalizado el proyecto y a más tardar en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febrero de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monto máximo de los proyectos será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millones de colones.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Los proyectos que excedan este monto no serán considerados.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Criterio de distribución por región: se procura una distribución equitativa por región, siempre y cuando los proyectos obtengan la nota mínima de 70 puntos y se cuente con los recursos disponibles para este fin, permitiendo también la aprobación de proyectos de alcance nacional de manera proporcional, según la priorización que establezca la Comisión Evaluadora.</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recepción de los documentos fuera de los plazos o en otros lugares no especificados por la Dirección de Cultura en el anuncio que haga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en junio de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resultará válida.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serán evaluadas aquellas propuestas que se presenten incompletas, y que se encuentren fuera del monto máximo y los plazos establecidos en las presentes bases de participación.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 indicar una cantidad aproximada de beneficiarios directos del proyecto, que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pueden ser cuantificados. Es importante que este dato sea realista y se detalle con claridad.</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caso de incumplimiento por parte del becario en cualquiera de las fases de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desarrollo del proyecto, deberá reintegrar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el monto total asignado al proyecto.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jc w:val="both"/>
        <w:rPr>
          <w:b w:val="1"/>
          <w:u w:val="single"/>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IV. CRITERIOS DE EVALUACIÓN:</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Los criterios de selección para las propuestas presentadas serán determinados según las siguientes temáticas, cada una con un porcentaje definido. Se evaluarán las propuestas de acuerdo a la incorporación de estos criterios en las mismas: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u w:val="single"/>
          <w:rtl w:val="0"/>
        </w:rPr>
        <w:t xml:space="preserve">Técnica:</w:t>
      </w:r>
      <w:r w:rsidDel="00000000" w:rsidR="00000000" w:rsidRPr="00000000">
        <w:rPr>
          <w:b w:val="1"/>
          <w:rtl w:val="0"/>
        </w:rPr>
        <w:t xml:space="preserve"> </w:t>
      </w:r>
      <w:r w:rsidDel="00000000" w:rsidR="00000000" w:rsidRPr="00000000">
        <w:rPr>
          <w:rtl w:val="0"/>
        </w:rPr>
        <w:t xml:space="preserve">Se evalúan los siguientes puntos: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objetivo del proyecto (congruencia entre objetivos, presupuesto y cronograma)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(o los) producto(s) esperado(s).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el proyecto es respetuoso con el medio ambiente y bienestar animal.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es obligatorio que el proyecto se desarrolle en los cantones establecidos por el gobierno como prioritarios, pero se brindará un puntaje extra a los proyectos desarrollados en estas zonas.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perfil de la persona postulante con relación al tema del proyecto.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u w:val="single"/>
          <w:rtl w:val="0"/>
        </w:rPr>
        <w:t xml:space="preserve">Conceptual (Arraigo, inserción y participación comunitaria)</w:t>
      </w:r>
      <w:r w:rsidDel="00000000" w:rsidR="00000000" w:rsidRPr="00000000">
        <w:rPr>
          <w:b w:val="1"/>
          <w:rtl w:val="0"/>
        </w:rPr>
        <w:t xml:space="preserve">: </w:t>
      </w:r>
      <w:r w:rsidDel="00000000" w:rsidR="00000000" w:rsidRPr="00000000">
        <w:rPr>
          <w:rtl w:val="0"/>
        </w:rPr>
        <w:t xml:space="preserve">Se evalúan los siguientes puntos: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la actividad sobre la cual se desarrollará la beca taller es reconocida por la comunidad como Herencia Cultural.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Grado de vulnerabilidad de la expresión (cantidad de practicantes, capacidad de transmisión, práctica registrada o sistematizada, la existencia de políticas o prácticas institucionales que amenacen la expresión).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vinculación del proyecto con personas portadoras de tradición.</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Cantidad de personas a beneficiar directamente.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Participación comunitaria verificable (presentación de cartas de las agrupaciones o personas participantes, presentación de listas de participantes interesados).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Participación de población vulnerable.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Cartas de respaldo de aliados/ contrapartes según la naturaleza del proyecto.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Posibilidad de generar fortalecimiento comunitario, entendido como un proceso comunitario, que permite el desarrollo de acciones trasformadoras para el bienestar colectivo.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u w:val="single"/>
          <w:rtl w:val="0"/>
        </w:rPr>
        <w:t xml:space="preserve">Financiera</w:t>
      </w:r>
      <w:r w:rsidDel="00000000" w:rsidR="00000000" w:rsidRPr="00000000">
        <w:rPr>
          <w:b w:val="1"/>
          <w:rtl w:val="0"/>
        </w:rPr>
        <w:t xml:space="preserve">: </w:t>
      </w:r>
      <w:r w:rsidDel="00000000" w:rsidR="00000000" w:rsidRPr="00000000">
        <w:rPr>
          <w:rtl w:val="0"/>
        </w:rPr>
        <w:t xml:space="preserve">Se evalúan los siguientes puntos:</w:t>
      </w:r>
    </w:p>
    <w:p w:rsidR="00000000" w:rsidDel="00000000" w:rsidP="00000000" w:rsidRDefault="00000000" w:rsidRPr="00000000">
      <w:pPr>
        <w:contextualSpacing w:val="0"/>
        <w:jc w:val="both"/>
        <w:rPr>
          <w:b w:val="1"/>
          <w:u w:val="singl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Congruencia: Que se cumpla con el rango establecido de presupuesto y que sea proporcional con los objetivos del proyecto.</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Proporcionalidad: Que el rubro de reconocimiento al becario(a) no sea mayor al 30% del presupuesto total del proyecto (salvo casos justificados) y el de compra de equipo no sea mayor al 30% del presupuesto total (salvo casos justificados).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Posibles fuentes de financiamiento: Si el proyecto cuenta con otras fuentes de financiamiento u otras contrapartes, y si el proponente ha sido beneficiario de fondos del MCJ en los últimos tres años (se busca que los fondos logren el mayor alcance posible, por lo que las personas que no han sido beneficiarias tienen un puntaje levemente mayor).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el monto y la naturaleza del proyecto se deben adjuntar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cotizaciones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nombre del postulante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respalden el cálculo de los principales rubros del presupuesto, cuando estos excedan los ₵250.000.</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i w:val="1"/>
        </w:rPr>
      </w:pPr>
      <w:r w:rsidDel="00000000" w:rsidR="00000000" w:rsidRPr="00000000">
        <w:rPr>
          <w:i w:val="1"/>
          <w:rtl w:val="0"/>
        </w:rPr>
        <w:t xml:space="preserve">Nota: La cantidad de proyectos seleccionados cada año dependerá del presupuesto autorizado a la Dirección de Cultura del Ministerio de Cultura y Juventud.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headerReference r:id="rId10" w:type="default"/>
      <w:footerReference r:id="rId11" w:type="default"/>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708"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contextualSpacing w:val="0"/>
        <w:rPr/>
      </w:pPr>
      <w:r w:rsidDel="00000000" w:rsidR="00000000" w:rsidRPr="00000000">
        <w:rPr>
          <w:rStyle w:val="FootnoteReference"/>
          <w:vertAlign w:val="superscript"/>
        </w:rPr>
        <w:footnoteRef/>
      </w:r>
      <w:r w:rsidDel="00000000" w:rsidR="00000000" w:rsidRPr="00000000">
        <w:rPr>
          <w:rtl w:val="0"/>
        </w:rPr>
        <w:t xml:space="preserve"> Los cantones definidos como prioritarios por la presente Administración son: </w:t>
      </w:r>
      <w:r w:rsidDel="00000000" w:rsidR="00000000" w:rsidRPr="00000000">
        <w:rPr>
          <w:b w:val="1"/>
          <w:rtl w:val="0"/>
        </w:rPr>
        <w:t xml:space="preserve">Región Central:</w:t>
      </w:r>
      <w:r w:rsidDel="00000000" w:rsidR="00000000" w:rsidRPr="00000000">
        <w:rPr>
          <w:rtl w:val="0"/>
        </w:rPr>
        <w:t xml:space="preserve"> León Cortés, Turrialba, Tarrazú. </w:t>
      </w:r>
      <w:r w:rsidDel="00000000" w:rsidR="00000000" w:rsidRPr="00000000">
        <w:rPr>
          <w:b w:val="1"/>
          <w:rtl w:val="0"/>
        </w:rPr>
        <w:t xml:space="preserve">Región Chorotega</w:t>
      </w:r>
      <w:r w:rsidDel="00000000" w:rsidR="00000000" w:rsidRPr="00000000">
        <w:rPr>
          <w:rtl w:val="0"/>
        </w:rPr>
        <w:t xml:space="preserve">: La Cruz, Abangares.</w:t>
      </w:r>
    </w:p>
    <w:p w:rsidR="00000000" w:rsidDel="00000000" w:rsidP="00000000" w:rsidRDefault="00000000" w:rsidRPr="00000000">
      <w:pPr>
        <w:contextualSpacing w:val="0"/>
        <w:rPr/>
      </w:pPr>
      <w:r w:rsidDel="00000000" w:rsidR="00000000" w:rsidRPr="00000000">
        <w:rPr>
          <w:b w:val="1"/>
          <w:rtl w:val="0"/>
        </w:rPr>
        <w:t xml:space="preserve">Región Huetar Norte:</w:t>
      </w:r>
      <w:r w:rsidDel="00000000" w:rsidR="00000000" w:rsidRPr="00000000">
        <w:rPr>
          <w:rtl w:val="0"/>
        </w:rPr>
        <w:t xml:space="preserve"> Los Chiles, Sarapiquí, Upala, Guatuso. </w:t>
      </w:r>
      <w:r w:rsidDel="00000000" w:rsidR="00000000" w:rsidRPr="00000000">
        <w:rPr>
          <w:b w:val="1"/>
          <w:rtl w:val="0"/>
        </w:rPr>
        <w:t xml:space="preserve">Región Huetar Caribe:</w:t>
      </w:r>
      <w:r w:rsidDel="00000000" w:rsidR="00000000" w:rsidRPr="00000000">
        <w:rPr>
          <w:rtl w:val="0"/>
        </w:rPr>
        <w:t xml:space="preserve"> Talamanca, Matina, Limón, Siquirres, Guácimo</w:t>
      </w:r>
      <w:r w:rsidDel="00000000" w:rsidR="00000000" w:rsidRPr="00000000">
        <w:rPr>
          <w:b w:val="1"/>
          <w:rtl w:val="0"/>
        </w:rPr>
        <w:t xml:space="preserve">. Región Pacífico Central</w:t>
      </w:r>
      <w:r w:rsidDel="00000000" w:rsidR="00000000" w:rsidRPr="00000000">
        <w:rPr>
          <w:rtl w:val="0"/>
        </w:rPr>
        <w:t xml:space="preserve">: Parrita. </w:t>
      </w:r>
      <w:r w:rsidDel="00000000" w:rsidR="00000000" w:rsidRPr="00000000">
        <w:rPr>
          <w:b w:val="1"/>
          <w:rtl w:val="0"/>
        </w:rPr>
        <w:t xml:space="preserve">Región Brunca:</w:t>
      </w:r>
      <w:r w:rsidDel="00000000" w:rsidR="00000000" w:rsidRPr="00000000">
        <w:rPr>
          <w:rtl w:val="0"/>
        </w:rPr>
        <w:t xml:space="preserve"> Buenos Aires, Golfito, Corredores, Osa, Coto Brus.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Las comunidades </w:t>
      </w:r>
      <w:r w:rsidDel="00000000" w:rsidR="00000000" w:rsidRPr="00000000">
        <w:rPr>
          <w:b w:val="1"/>
          <w:rtl w:val="0"/>
        </w:rPr>
        <w:t xml:space="preserve">afectadas por el Huracán Otto</w:t>
      </w:r>
      <w:r w:rsidDel="00000000" w:rsidR="00000000" w:rsidRPr="00000000">
        <w:rPr>
          <w:rtl w:val="0"/>
        </w:rPr>
        <w:t xml:space="preserve"> también se considerarán prioritarias para efectos de la presente Convocatoria.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708" w:line="240" w:lineRule="auto"/>
      <w:ind w:left="0" w:right="0" w:firstLine="0"/>
      <w:contextualSpacing w:val="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929005</wp:posOffset>
          </wp:positionH>
          <wp:positionV relativeFrom="paragraph">
            <wp:posOffset>-163829</wp:posOffset>
          </wp:positionV>
          <wp:extent cx="3830955" cy="904875"/>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830955" cy="904875"/>
                  </a:xfrm>
                  <a:prstGeom prst="rect"/>
                  <a:ln/>
                </pic:spPr>
              </pic:pic>
            </a:graphicData>
          </a:graphic>
        </wp:anchor>
      </w:draw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6"/>
        <w:tab w:val="left" w:pos="5664"/>
        <w:tab w:val="left" w:pos="6372"/>
        <w:tab w:val="left" w:pos="708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6"/>
        <w:tab w:val="left" w:pos="5664"/>
        <w:tab w:val="left" w:pos="6372"/>
        <w:tab w:val="left" w:pos="708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mcj.go.cr" TargetMode="External"/><Relationship Id="rId5" Type="http://schemas.openxmlformats.org/officeDocument/2006/relationships/styles" Target="styles.xml"/><Relationship Id="rId6" Type="http://schemas.openxmlformats.org/officeDocument/2006/relationships/hyperlink" Target="http://www.dircultura.go.cr" TargetMode="External"/><Relationship Id="rId7" Type="http://schemas.openxmlformats.org/officeDocument/2006/relationships/hyperlink" Target="http://www.dircultura.go.cr" TargetMode="External"/><Relationship Id="rId8" Type="http://schemas.openxmlformats.org/officeDocument/2006/relationships/hyperlink" Target="http://www.dircultura.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